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2CA1">
      <w:pPr>
        <w:pStyle w:val="1"/>
      </w:pPr>
      <w:r>
        <w:fldChar w:fldCharType="begin"/>
      </w:r>
      <w:r>
        <w:instrText>HYPERLINK "http://192.168.152.17/document/redirect/46423044/0"</w:instrText>
      </w:r>
      <w:r>
        <w:fldChar w:fldCharType="separate"/>
      </w:r>
      <w:proofErr w:type="gramStart"/>
      <w:r>
        <w:rPr>
          <w:rStyle w:val="a4"/>
          <w:b w:val="0"/>
          <w:bCs w:val="0"/>
        </w:rPr>
        <w:t>Приказ Департамента социальной защиты Воронежской облас</w:t>
      </w:r>
      <w:r>
        <w:rPr>
          <w:rStyle w:val="a4"/>
          <w:b w:val="0"/>
          <w:bCs w:val="0"/>
        </w:rPr>
        <w:t>ти от 16 февраля 2018 г. N 8/</w:t>
      </w:r>
      <w:proofErr w:type="spellStart"/>
      <w:r>
        <w:rPr>
          <w:rStyle w:val="a4"/>
          <w:b w:val="0"/>
          <w:bCs w:val="0"/>
        </w:rPr>
        <w:t>н</w:t>
      </w:r>
      <w:proofErr w:type="spellEnd"/>
      <w:r>
        <w:rPr>
          <w:rStyle w:val="a4"/>
          <w:b w:val="0"/>
          <w:bCs w:val="0"/>
        </w:rPr>
        <w:t xml:space="preserve"> "Об утверждении Порядка предоставления меры социальной поддержки членам семьи военнослужащего, погибшего в период прохождения военной службы в мирное время, а также членам семьи отдельных категорий граждан, погибших (умерших)</w:t>
      </w:r>
      <w:r>
        <w:rPr>
          <w:rStyle w:val="a4"/>
          <w:b w:val="0"/>
          <w:bCs w:val="0"/>
        </w:rPr>
        <w:t xml:space="preserve"> при исполнении служебных обязанностей в ходе специальной военной операции на территориях Украины, Донецкой Народной Республики, Луганской Народной Республики</w:t>
      </w:r>
      <w:proofErr w:type="gramEnd"/>
      <w:r>
        <w:rPr>
          <w:rStyle w:val="a4"/>
          <w:b w:val="0"/>
          <w:bCs w:val="0"/>
        </w:rPr>
        <w:t>, Запорожской области, Херсонской области, в виде ежемесячной денежной выплаты за проезд в пассажи</w:t>
      </w:r>
      <w:r>
        <w:rPr>
          <w:rStyle w:val="a4"/>
          <w:b w:val="0"/>
          <w:bCs w:val="0"/>
        </w:rPr>
        <w:t>рском транспорте городского сообщения" (с изменениями и дополнениями)</w:t>
      </w:r>
      <w:r>
        <w:fldChar w:fldCharType="end"/>
      </w:r>
    </w:p>
    <w:p w:rsidR="00000000" w:rsidRDefault="005A2CA1">
      <w:r>
        <w:t xml:space="preserve">В соответствии с </w:t>
      </w:r>
      <w:hyperlink r:id="rId7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</w:t>
      </w:r>
      <w:r>
        <w:t>ан в Воронежской области" приказываю:</w:t>
      </w:r>
    </w:p>
    <w:p w:rsidR="00000000" w:rsidRDefault="005A2CA1">
      <w:bookmarkStart w:id="0" w:name="sub_1"/>
      <w:r>
        <w:t xml:space="preserve">1. </w:t>
      </w:r>
      <w:proofErr w:type="gramStart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меры социальной поддержки членам семьи военнослужащего, погибшего в период прохождения военной службы в мирное время, а также членам семьи </w:t>
      </w:r>
      <w:r>
        <w:t>отдельных категорий граждан, погибших (умерших) при исполнении служебных обязанностей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в виде е</w:t>
      </w:r>
      <w:r>
        <w:t>жемесячной денежной выплаты за проезд в пассажирском транспорте</w:t>
      </w:r>
      <w:proofErr w:type="gramEnd"/>
      <w:r>
        <w:t xml:space="preserve"> городского сообщения (далее - Порядок).</w:t>
      </w:r>
    </w:p>
    <w:p w:rsidR="00000000" w:rsidRDefault="005A2CA1">
      <w:bookmarkStart w:id="1" w:name="sub_2"/>
      <w:bookmarkEnd w:id="0"/>
      <w:r>
        <w:t>2. Отделу социальной поддержки федеральных, региональных льготников и отдельных категорий граждан департамента (</w:t>
      </w:r>
      <w:proofErr w:type="spellStart"/>
      <w:r>
        <w:t>Арнаутова</w:t>
      </w:r>
      <w:proofErr w:type="spellEnd"/>
      <w:r>
        <w:t>) обеспечить организа</w:t>
      </w:r>
      <w:r>
        <w:t xml:space="preserve">ционное и методическое руководство по применению </w:t>
      </w:r>
      <w:hyperlink w:anchor="sub_1000" w:history="1">
        <w:r>
          <w:rPr>
            <w:rStyle w:val="a4"/>
          </w:rPr>
          <w:t>Порядка</w:t>
        </w:r>
      </w:hyperlink>
      <w:r>
        <w:t>.</w:t>
      </w:r>
    </w:p>
    <w:p w:rsidR="00000000" w:rsidRDefault="005A2CA1">
      <w:bookmarkStart w:id="2" w:name="sub_3"/>
      <w:bookmarkEnd w:id="1"/>
      <w:r>
        <w:t>3. Отделу развития информационных ресурсов департамента (</w:t>
      </w:r>
      <w:proofErr w:type="spellStart"/>
      <w:r>
        <w:t>Туленко</w:t>
      </w:r>
      <w:proofErr w:type="spellEnd"/>
      <w:r>
        <w:t>):</w:t>
      </w:r>
    </w:p>
    <w:bookmarkEnd w:id="2"/>
    <w:p w:rsidR="00000000" w:rsidRDefault="005A2CA1">
      <w:r>
        <w:t xml:space="preserve">- обеспечивать разработку и сопровождение программных средств, необходимых для реализации </w:t>
      </w:r>
      <w:hyperlink w:anchor="sub_1000" w:history="1">
        <w:r>
          <w:rPr>
            <w:rStyle w:val="a4"/>
          </w:rPr>
          <w:t>Порядка</w:t>
        </w:r>
      </w:hyperlink>
      <w:r>
        <w:t>;</w:t>
      </w:r>
    </w:p>
    <w:p w:rsidR="00000000" w:rsidRDefault="005A2CA1">
      <w:proofErr w:type="gramStart"/>
      <w:r>
        <w:t>- запрашивать 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в Федеральной налоговой службе в электронной форме пос</w:t>
      </w:r>
      <w:r>
        <w:t>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000000" w:rsidRDefault="005A2CA1">
      <w:bookmarkStart w:id="3" w:name="sub_4"/>
      <w:r>
        <w:t xml:space="preserve">4. </w:t>
      </w:r>
      <w:proofErr w:type="gramStart"/>
      <w:r>
        <w:t>Определить казенные учреждения Воронежской области "Управление социальной за</w:t>
      </w:r>
      <w:r>
        <w:t xml:space="preserve">щиты населения" городского округа город </w:t>
      </w:r>
      <w:proofErr w:type="spellStart"/>
      <w:r>
        <w:t>Нововоронеж</w:t>
      </w:r>
      <w:proofErr w:type="spellEnd"/>
      <w:r>
        <w:t>, Борисоглебского городского округа, районов г. Воронежа и Воронежской области организациями, уполномоченными на назначение и выплату меры социальной поддержки членам семьи военнослужащего, погибшего в пер</w:t>
      </w:r>
      <w:r>
        <w:t>иод прохождения военной службы в мирное время, а также членам семьи отдельных категорий граждан, погибших (умерших) при исполнении служебных обязанностей в ходе специальной военной</w:t>
      </w:r>
      <w:proofErr w:type="gramEnd"/>
      <w:r>
        <w:t xml:space="preserve"> операции на территориях Украины, Донецкой Народной Республики, Луганской На</w:t>
      </w:r>
      <w:r>
        <w:t xml:space="preserve">родной Республики, Запорожской области, Херсонской области, в виде ежемесячной денежной выплаты за проезд в пассажирском транспорте городского сообщения, а также </w:t>
      </w:r>
      <w:proofErr w:type="gramStart"/>
      <w:r>
        <w:t>ответственными</w:t>
      </w:r>
      <w:proofErr w:type="gramEnd"/>
      <w:r>
        <w:t xml:space="preserve"> за целевое расходование средств и за достоверность отчетных данных.</w:t>
      </w:r>
    </w:p>
    <w:p w:rsidR="00000000" w:rsidRDefault="005A2CA1">
      <w:bookmarkStart w:id="4" w:name="sub_5"/>
      <w:bookmarkEnd w:id="3"/>
      <w:r>
        <w:t>5</w:t>
      </w:r>
      <w:r>
        <w:t xml:space="preserve">. Утратил силу с 23 апреля 2023 г. - </w:t>
      </w:r>
      <w:hyperlink r:id="rId8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4 апреля 2023 г. N 16/Н</w:t>
      </w:r>
    </w:p>
    <w:p w:rsidR="00000000" w:rsidRDefault="005A2CA1">
      <w:bookmarkStart w:id="5" w:name="sub_6"/>
      <w:bookmarkEnd w:id="4"/>
      <w:r>
        <w:t>6. Признать утратившими силу:</w:t>
      </w:r>
    </w:p>
    <w:p w:rsidR="00000000" w:rsidRDefault="005A2CA1">
      <w:bookmarkStart w:id="6" w:name="sub_61"/>
      <w:bookmarkEnd w:id="5"/>
      <w:r>
        <w:t xml:space="preserve">- </w:t>
      </w:r>
      <w:hyperlink r:id="rId9" w:history="1">
        <w:r>
          <w:rPr>
            <w:rStyle w:val="a4"/>
          </w:rPr>
          <w:t>приказ</w:t>
        </w:r>
      </w:hyperlink>
      <w:r>
        <w:t xml:space="preserve"> департамента труда и социального развития Воронежской области от 26.07.2013 N 2644/ОД "Об утверждении Порядка предоставления мер социальной поддержки членам семьи военнослужащего, погибшего в перио</w:t>
      </w:r>
      <w:r>
        <w:t>д прохождения военной службы в мирное время, в виде ежемесячной денежной выплаты за проезд в пассажирском транспорте городского сообщения";</w:t>
      </w:r>
    </w:p>
    <w:p w:rsidR="00000000" w:rsidRDefault="005A2CA1">
      <w:bookmarkStart w:id="7" w:name="sub_62"/>
      <w:bookmarkEnd w:id="6"/>
      <w:r>
        <w:t xml:space="preserve">- </w:t>
      </w:r>
      <w:hyperlink r:id="rId10" w:history="1">
        <w:r>
          <w:rPr>
            <w:rStyle w:val="a4"/>
          </w:rPr>
          <w:t>приказ</w:t>
        </w:r>
      </w:hyperlink>
      <w:r>
        <w:t xml:space="preserve"> департамента социальной защиты</w:t>
      </w:r>
      <w:r>
        <w:t xml:space="preserve"> Воронежской области от 09.12.2014 N 3428/ОД "О внесении изменений в приказ департамента труда и социального развития Воронежской области от 26.07.2013 N 2644/ОД".</w:t>
      </w:r>
    </w:p>
    <w:p w:rsidR="00000000" w:rsidRDefault="005A2CA1">
      <w:bookmarkStart w:id="8" w:name="sub_7"/>
      <w:bookmarkEnd w:id="7"/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</w:t>
      </w:r>
      <w:r>
        <w:t>ля департамента Воронцову В.В..</w:t>
      </w:r>
    </w:p>
    <w:bookmarkEnd w:id="8"/>
    <w:p w:rsidR="00000000" w:rsidRDefault="005A2CA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</w:t>
            </w:r>
            <w:r>
              <w:br/>
              <w:t>руководителя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A2CA1">
            <w:pPr>
              <w:pStyle w:val="a5"/>
              <w:jc w:val="right"/>
            </w:pPr>
            <w:r>
              <w:t>О.В. Сергеева</w:t>
            </w:r>
          </w:p>
        </w:tc>
      </w:tr>
    </w:tbl>
    <w:p w:rsidR="00000000" w:rsidRDefault="005A2CA1">
      <w:pPr>
        <w:jc w:val="right"/>
        <w:rPr>
          <w:rStyle w:val="a3"/>
          <w:rFonts w:ascii="Arial" w:hAnsi="Arial" w:cs="Arial"/>
        </w:rPr>
      </w:pPr>
      <w:bookmarkStart w:id="9" w:name="sub_1000"/>
      <w:proofErr w:type="gramStart"/>
      <w:r>
        <w:rPr>
          <w:rStyle w:val="a3"/>
          <w:rFonts w:ascii="Arial" w:hAnsi="Arial" w:cs="Arial"/>
        </w:rPr>
        <w:lastRenderedPageBreak/>
        <w:t>Утвержден</w:t>
      </w:r>
      <w:proofErr w:type="gramEnd"/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приказом</w:t>
        </w:r>
      </w:hyperlink>
      <w:r>
        <w:rPr>
          <w:rStyle w:val="a3"/>
          <w:rFonts w:ascii="Arial" w:hAnsi="Arial" w:cs="Arial"/>
        </w:rPr>
        <w:br/>
        <w:t>департамента социальной защиты</w:t>
      </w:r>
      <w:r>
        <w:rPr>
          <w:rStyle w:val="a3"/>
          <w:rFonts w:ascii="Arial" w:hAnsi="Arial" w:cs="Arial"/>
        </w:rPr>
        <w:br/>
        <w:t>Воронежской области</w:t>
      </w:r>
      <w:r>
        <w:rPr>
          <w:rStyle w:val="a3"/>
          <w:rFonts w:ascii="Arial" w:hAnsi="Arial" w:cs="Arial"/>
        </w:rPr>
        <w:br/>
        <w:t>от 16.02.2018 N 8/</w:t>
      </w:r>
      <w:proofErr w:type="spellStart"/>
      <w:r>
        <w:rPr>
          <w:rStyle w:val="a3"/>
          <w:rFonts w:ascii="Arial" w:hAnsi="Arial" w:cs="Arial"/>
        </w:rPr>
        <w:t>н</w:t>
      </w:r>
      <w:proofErr w:type="spellEnd"/>
    </w:p>
    <w:bookmarkEnd w:id="9"/>
    <w:p w:rsidR="00000000" w:rsidRDefault="005A2CA1"/>
    <w:p w:rsidR="00000000" w:rsidRDefault="005A2CA1">
      <w:pPr>
        <w:pStyle w:val="1"/>
      </w:pPr>
      <w:proofErr w:type="gramStart"/>
      <w:r>
        <w:t>Порядок</w:t>
      </w:r>
      <w:r>
        <w:br/>
        <w:t>предо</w:t>
      </w:r>
      <w:r>
        <w:t>ставления меры социальной поддержки членам семьи военнослужащего, погибшего в период прохождения военной службы в мирное время, а также членам семьи отдельных категорий граждан, погибших (умерших) при исполнении служебных обязанностей в ходе специальной во</w:t>
      </w:r>
      <w:r>
        <w:t>енной операции на территориях Украины, Донецкой Народной Республики, Луганской Народной Республики, Запорожской области, Херсонской области, в виде ежемесячной денежной выплаты за проезд в пассажирском транспорте городского сообщения</w:t>
      </w:r>
      <w:proofErr w:type="gramEnd"/>
    </w:p>
    <w:p w:rsidR="00000000" w:rsidRDefault="005A2CA1"/>
    <w:p w:rsidR="00000000" w:rsidRDefault="005A2CA1">
      <w:bookmarkStart w:id="10" w:name="sub_100"/>
      <w:proofErr w:type="gramStart"/>
      <w:r>
        <w:t>Настоящий Поря</w:t>
      </w:r>
      <w:r>
        <w:t>док определяет механизм предоставления меры социальной поддержки членам семьи военнослужащего, погибшего в период прохождения военной службы в мирное время, а также членам семьи отдельных категорий граждан, погибших (умерших) при исполнении служебных обяза</w:t>
      </w:r>
      <w:r>
        <w:t>нностей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в виде ежемесячной денежной выплаты за проезд в пассажирском</w:t>
      </w:r>
      <w:proofErr w:type="gramEnd"/>
      <w:r>
        <w:t xml:space="preserve"> </w:t>
      </w:r>
      <w:proofErr w:type="gramStart"/>
      <w:r>
        <w:t>транспорте</w:t>
      </w:r>
      <w:proofErr w:type="gramEnd"/>
      <w:r>
        <w:t xml:space="preserve"> городского соо</w:t>
      </w:r>
      <w:r>
        <w:t xml:space="preserve">бщения, предусмотренной </w:t>
      </w:r>
      <w:hyperlink r:id="rId11" w:history="1">
        <w:r>
          <w:rPr>
            <w:rStyle w:val="a4"/>
          </w:rPr>
          <w:t>пунктом 8 части 1 статьи 37</w:t>
        </w:r>
      </w:hyperlink>
      <w:r>
        <w:t xml:space="preserve"> Закона Воронежской области от 14.11.2008 N 103-ОЗ "О социальной поддержке отдельных категорий граждан в Воронежской области".</w:t>
      </w:r>
    </w:p>
    <w:bookmarkEnd w:id="10"/>
    <w:p w:rsidR="00000000" w:rsidRDefault="005A2CA1"/>
    <w:p w:rsidR="00000000" w:rsidRDefault="005A2CA1">
      <w:pPr>
        <w:pStyle w:val="1"/>
      </w:pPr>
      <w:bookmarkStart w:id="11" w:name="sub_14"/>
      <w:r>
        <w:t>1. Общие положения</w:t>
      </w:r>
    </w:p>
    <w:p w:rsidR="00000000" w:rsidRDefault="005A2CA1">
      <w:bookmarkStart w:id="12" w:name="sub_12"/>
      <w:bookmarkEnd w:id="11"/>
      <w:r>
        <w:t xml:space="preserve">1.1. </w:t>
      </w:r>
      <w:proofErr w:type="gramStart"/>
      <w:r>
        <w:t xml:space="preserve">Ежемесячная денежная выплата за проезд в пассажирском транспорте городского сообщения (далее - ежемесячная денежная выплата за проезд) предоставляется членам семьи военнослужащего, погибшего (умершего), пропавшего </w:t>
      </w:r>
      <w:r>
        <w:t>без вести в период прохождения военной службы (сборов) как по призыву, так и по контракту в мирное время - с 3 сентября 1945 года (независимо от воинского звания и причин смерти, кроме случаев противоправных действий), либо умершего вследствие</w:t>
      </w:r>
      <w:proofErr w:type="gramEnd"/>
      <w:r>
        <w:t xml:space="preserve"> ранения, тра</w:t>
      </w:r>
      <w:r>
        <w:t xml:space="preserve">вмы, контузии, увечья или заболевания, полученного в период прохождения военной службы (сборов) и подтвержденного документами, независимо от даты </w:t>
      </w:r>
      <w:proofErr w:type="gramStart"/>
      <w:r>
        <w:t>смерти (далее - члены семьи погибшего военнослужащего), а также членам семьи сотрудников органов внутренних де</w:t>
      </w:r>
      <w:r>
        <w:t>л, войск национальной гвардии Российской Федерации,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федеральной службы безопасности, федеральной</w:t>
      </w:r>
      <w:r>
        <w:t xml:space="preserve"> службы охраны, органов </w:t>
      </w:r>
      <w:proofErr w:type="gramEnd"/>
      <w:r>
        <w:t>прокуратуры Российской Федерации, Следственного комитета Российской Федерации, погибших (умерших) при исполнении служебных обязанностей в ходе специальной военной операции на территориях Украины, Донецкой Народной Республики, Луганс</w:t>
      </w:r>
      <w:r>
        <w:t>кой Народной Республики, Запорожской области, Херсонской области (далее - члены семьи погибшего сотрудника). Ежемесячная денежная выплата за проезд устанавливается следующим членам семьи погибшего военнослужащего, членам семьи погибшего сотрудника:</w:t>
      </w:r>
    </w:p>
    <w:p w:rsidR="00000000" w:rsidRDefault="005A2CA1">
      <w:bookmarkStart w:id="13" w:name="sub_8"/>
      <w:bookmarkEnd w:id="12"/>
      <w:r>
        <w:t>а) родителям;</w:t>
      </w:r>
    </w:p>
    <w:p w:rsidR="00000000" w:rsidRDefault="005A2CA1">
      <w:bookmarkStart w:id="14" w:name="sub_9"/>
      <w:bookmarkEnd w:id="13"/>
      <w:r>
        <w:t>б) супругу (супруге) - до регистрации повторного брака;</w:t>
      </w:r>
    </w:p>
    <w:p w:rsidR="00000000" w:rsidRDefault="005A2CA1">
      <w:bookmarkStart w:id="15" w:name="sub_10"/>
      <w:bookmarkEnd w:id="14"/>
      <w:r>
        <w:t xml:space="preserve">в) дедушке, бабушке, </w:t>
      </w:r>
      <w:proofErr w:type="gramStart"/>
      <w:r>
        <w:t>воспитывавшим</w:t>
      </w:r>
      <w:proofErr w:type="gramEnd"/>
      <w:r>
        <w:t xml:space="preserve"> и содержавшим погибшего военнослужащего, погибшего сотрудника - при отсутствии лиц, которые по закону обязаны их содержать;</w:t>
      </w:r>
    </w:p>
    <w:p w:rsidR="00000000" w:rsidRDefault="005A2CA1">
      <w:bookmarkStart w:id="16" w:name="sub_11"/>
      <w:bookmarkEnd w:id="15"/>
      <w:r>
        <w:t>г) детям (в том числе принятым на воспитание по договору о приемной семье):</w:t>
      </w:r>
    </w:p>
    <w:bookmarkEnd w:id="16"/>
    <w:p w:rsidR="00000000" w:rsidRDefault="005A2CA1">
      <w:r>
        <w:t>- до достижения ими 18-летнего возраста;</w:t>
      </w:r>
    </w:p>
    <w:p w:rsidR="00000000" w:rsidRDefault="005A2CA1">
      <w:r>
        <w:t>- старше этого возраста, если они до достижения 18 лет стали инвалидами, - на время инвалидности;</w:t>
      </w:r>
    </w:p>
    <w:p w:rsidR="00000000" w:rsidRDefault="005A2CA1">
      <w:r>
        <w:t>- проходящим обучение в о</w:t>
      </w:r>
      <w:r>
        <w:t xml:space="preserve">бразовательных организациях по очной форме обучения (кроме военных и приравненных к ним образовательных организаций) - до окончания обучения, но не </w:t>
      </w:r>
      <w:r>
        <w:lastRenderedPageBreak/>
        <w:t>более чем до достижения ими 23-летнего возраста.</w:t>
      </w:r>
    </w:p>
    <w:p w:rsidR="00000000" w:rsidRDefault="005A2CA1">
      <w:bookmarkStart w:id="17" w:name="sub_13"/>
      <w:r>
        <w:t xml:space="preserve">1.2. </w:t>
      </w:r>
      <w:proofErr w:type="gramStart"/>
      <w:r>
        <w:t>Документом, подтверждающим право на меры социаль</w:t>
      </w:r>
      <w:r>
        <w:t>ной поддержки члена семьи погибшего военнослужащего, члена семьи погибшего сотрудника в виде ежемесячной денежной выплаты за проезд, является удостоверение единого образца члена семьи военнослужащего, погибшего (умершего) в период прохождения военной служб</w:t>
      </w:r>
      <w:r>
        <w:t>ы в мирное время, а также члена семьи отдельных категорий граждан, погибших (умерших) при исполнении служебных обязанностей в ходе специальной военной операции на территориях Украины</w:t>
      </w:r>
      <w:proofErr w:type="gramEnd"/>
      <w:r>
        <w:t xml:space="preserve">, </w:t>
      </w:r>
      <w:proofErr w:type="gramStart"/>
      <w:r>
        <w:t>Донецкой Народной Республики, Луганской Народной Республики, Запорожской</w:t>
      </w:r>
      <w:r>
        <w:t xml:space="preserve"> области, Херсонской области (или его дубликат), выданное в соответствии с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Воронежской области от 03.02.2023 N 53 "Об утверждении Порядка выдачи удостоверения ед</w:t>
      </w:r>
      <w:r>
        <w:t>иного образца членам семьи военнослужащего, погибшего (умершего) в период прохождения военной службы в мирное время, а также членам семьи отдельных категорий граждан, погибших (умерших) при исполнении служебных обязанностей в ходе</w:t>
      </w:r>
      <w:proofErr w:type="gramEnd"/>
      <w:r>
        <w:t xml:space="preserve"> специальной военной опера</w:t>
      </w:r>
      <w:r>
        <w:t>ции на территориях Украины, Донецкой Народной Республики, Луганской Народной Республики, Запорожской области, Херсонской области" (далее - удостоверение единого образца).</w:t>
      </w:r>
    </w:p>
    <w:bookmarkEnd w:id="17"/>
    <w:p w:rsidR="00000000" w:rsidRDefault="005A2CA1"/>
    <w:p w:rsidR="00000000" w:rsidRDefault="005A2CA1">
      <w:pPr>
        <w:pStyle w:val="1"/>
      </w:pPr>
      <w:bookmarkStart w:id="18" w:name="sub_20"/>
      <w:r>
        <w:t>2. Порядок обращения за назначением ежемесячной денежной выплаты за прое</w:t>
      </w:r>
      <w:r>
        <w:t>зд</w:t>
      </w:r>
    </w:p>
    <w:bookmarkEnd w:id="18"/>
    <w:p w:rsidR="00000000" w:rsidRDefault="005A2CA1"/>
    <w:p w:rsidR="00000000" w:rsidRDefault="005A2CA1">
      <w:bookmarkStart w:id="19" w:name="sub_15"/>
      <w:r>
        <w:t xml:space="preserve">2.1. </w:t>
      </w:r>
      <w:proofErr w:type="gramStart"/>
      <w:r>
        <w:t>Для назначения ежемесячной денежной выплаты за проезд член семьи погибшего военнослужащего, а также член семьи погибшего сотрудника обращается в казенное учреждение Воронежской области "Управление социальной защиты населения" городског</w:t>
      </w:r>
      <w:r>
        <w:t xml:space="preserve">о округа город </w:t>
      </w:r>
      <w:proofErr w:type="spellStart"/>
      <w:r>
        <w:t>Нововоронеж</w:t>
      </w:r>
      <w:proofErr w:type="spellEnd"/>
      <w:r>
        <w:t xml:space="preserve">, Борисоглебского городского округа, районов г. Воронежа и Воронежской области по месту жительства (далее - КУВО "УСЗН" района) лично либо через представителя (законного представителя) с заявлением по </w:t>
      </w:r>
      <w:hyperlink r:id="rId13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4" w:history="1">
        <w:r>
          <w:rPr>
            <w:rStyle w:val="a4"/>
          </w:rPr>
          <w:t>приказом</w:t>
        </w:r>
      </w:hyperlink>
      <w:r>
        <w:t xml:space="preserve"> департамента</w:t>
      </w:r>
      <w:proofErr w:type="gramEnd"/>
      <w:r>
        <w:t xml:space="preserve"> социальной защиты Воронежской области от 05.07.2019 N 36/</w:t>
      </w:r>
      <w:proofErr w:type="spellStart"/>
      <w:proofErr w:type="gramStart"/>
      <w:r>
        <w:t>н</w:t>
      </w:r>
      <w:proofErr w:type="spellEnd"/>
      <w:proofErr w:type="gramEnd"/>
      <w:r>
        <w:t xml:space="preserve"> "</w:t>
      </w:r>
      <w:proofErr w:type="gramStart"/>
      <w:r>
        <w:t>Об</w:t>
      </w:r>
      <w:proofErr w:type="gramEnd"/>
      <w:r>
        <w:t xml:space="preserve"> утверждении формы заявления для предоставления </w:t>
      </w:r>
      <w:r>
        <w:t>мер социальной поддержки отдельным категориям граждан и внесении изменений в отдельные нормативные правовые акты департамента социальной защиты Воронежской области" и представляет паспорт или иной документ, удостоверяющий личность.</w:t>
      </w:r>
    </w:p>
    <w:p w:rsidR="00000000" w:rsidRDefault="005A2CA1">
      <w:bookmarkStart w:id="20" w:name="sub_16"/>
      <w:bookmarkEnd w:id="19"/>
      <w:r>
        <w:t>2.2. К заявл</w:t>
      </w:r>
      <w:r>
        <w:t>ению прилагается удостоверение единого образца.</w:t>
      </w:r>
    </w:p>
    <w:bookmarkEnd w:id="20"/>
    <w:p w:rsidR="00000000" w:rsidRDefault="005A2CA1">
      <w:r>
        <w:t>Законные представители или представители, действующие в силу полномочий, основанных на доверенности, оформленной в соответствии с законодательством Российской Федерации, представляют документ, подтвержд</w:t>
      </w:r>
      <w:r>
        <w:t>ающий их полномочия.</w:t>
      </w:r>
    </w:p>
    <w:p w:rsidR="00000000" w:rsidRDefault="005A2CA1">
      <w:r>
        <w:t>Копии указанных документов представляются вместе с их подлинниками либо должны быть заверены в порядке, установленном законодательством Российской Федерации.</w:t>
      </w:r>
    </w:p>
    <w:p w:rsidR="00000000" w:rsidRDefault="005A2CA1">
      <w:bookmarkStart w:id="21" w:name="sub_17"/>
      <w:r>
        <w:t>2.3. Заявление и документы, необходимые для назначения ежемесячной дене</w:t>
      </w:r>
      <w:r>
        <w:t>жной выплаты за проезд, могут быть направлены в КУВО "УСЗН" района в форме электронных документов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bookmarkEnd w:id="21"/>
    <w:p w:rsidR="00000000" w:rsidRDefault="005A2CA1">
      <w:r>
        <w:t>- лично или через пре</w:t>
      </w:r>
      <w:r>
        <w:t>дставителя (законного представителя) при посещении КУВО "УСЗН" района;</w:t>
      </w:r>
    </w:p>
    <w:p w:rsidR="00000000" w:rsidRDefault="005A2CA1">
      <w:r>
        <w:t>- посредством федеральной государственной информационной системы "</w:t>
      </w:r>
      <w:hyperlink r:id="rId15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услуг" </w:t>
      </w:r>
      <w:r>
        <w:t>(без использования электронных носителей);</w:t>
      </w:r>
    </w:p>
    <w:p w:rsidR="00000000" w:rsidRDefault="005A2CA1">
      <w:bookmarkStart w:id="22" w:name="sub_174"/>
      <w:r>
        <w:t xml:space="preserve">- посредством </w:t>
      </w:r>
      <w:hyperlink r:id="rId16" w:history="1">
        <w:r>
          <w:rPr>
            <w:rStyle w:val="a4"/>
          </w:rPr>
          <w:t>информационной системы</w:t>
        </w:r>
      </w:hyperlink>
      <w:r>
        <w:t xml:space="preserve"> "Портал Воронежской области в сети Интернет" (без использования электронных носителей);</w:t>
      </w:r>
    </w:p>
    <w:bookmarkEnd w:id="22"/>
    <w:p w:rsidR="00000000" w:rsidRDefault="005A2CA1">
      <w:r>
        <w:t>- иным с</w:t>
      </w:r>
      <w:r>
        <w:t>пособом, позволяющим передать в электронном виде заявление и иные документы.</w:t>
      </w:r>
    </w:p>
    <w:p w:rsidR="00000000" w:rsidRDefault="005A2CA1">
      <w:r>
        <w:t>Заявление и документы, необходимые для назначения ежемесячной денежной выплаты за проезд, представляемые в форме электронных документов, подписываются в соответствии с требованиям</w:t>
      </w:r>
      <w:r>
        <w:t xml:space="preserve">и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подписи",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от 27.07.2010 N </w:t>
      </w:r>
      <w:r>
        <w:t>210-ФЗ "Об организации предоставления государственных и муниципальных услуг":</w:t>
      </w:r>
    </w:p>
    <w:p w:rsidR="00000000" w:rsidRDefault="005A2CA1">
      <w:r>
        <w:t xml:space="preserve">- заявление - </w:t>
      </w:r>
      <w:hyperlink r:id="rId19" w:history="1">
        <w:r>
          <w:rPr>
            <w:rStyle w:val="a4"/>
          </w:rPr>
          <w:t>простой электронной подписью</w:t>
        </w:r>
      </w:hyperlink>
      <w:r>
        <w:t xml:space="preserve"> (далее - ЭП);</w:t>
      </w:r>
    </w:p>
    <w:p w:rsidR="00000000" w:rsidRDefault="005A2CA1">
      <w:r>
        <w:t>- копии документов, не требующие представления оригинал</w:t>
      </w:r>
      <w:r>
        <w:t xml:space="preserve">ов или нотариального заверения, - </w:t>
      </w:r>
      <w:hyperlink r:id="rId20" w:history="1">
        <w:r>
          <w:rPr>
            <w:rStyle w:val="a4"/>
          </w:rPr>
          <w:t>простой ЭП</w:t>
        </w:r>
      </w:hyperlink>
      <w:r>
        <w:t>;</w:t>
      </w:r>
    </w:p>
    <w:p w:rsidR="00000000" w:rsidRDefault="005A2CA1">
      <w:r>
        <w:lastRenderedPageBreak/>
        <w:t xml:space="preserve">- документы, выданные органами или организациями, - усиленной </w:t>
      </w:r>
      <w:hyperlink r:id="rId21" w:history="1">
        <w:r>
          <w:rPr>
            <w:rStyle w:val="a4"/>
          </w:rPr>
          <w:t>квалифицированной Э</w:t>
        </w:r>
        <w:r>
          <w:rPr>
            <w:rStyle w:val="a4"/>
          </w:rPr>
          <w:t>П</w:t>
        </w:r>
      </w:hyperlink>
      <w:r>
        <w:t xml:space="preserve"> таких органов или организаций;</w:t>
      </w:r>
    </w:p>
    <w:p w:rsidR="00000000" w:rsidRDefault="005A2CA1">
      <w:r>
        <w:t xml:space="preserve">- копии документов, требующие представления оригиналов или нотариального заверения, - усиленной </w:t>
      </w:r>
      <w:hyperlink r:id="rId22" w:history="1">
        <w:r>
          <w:rPr>
            <w:rStyle w:val="a4"/>
          </w:rPr>
          <w:t>квалифицированной ЭП</w:t>
        </w:r>
      </w:hyperlink>
      <w:r>
        <w:t xml:space="preserve"> нотариуса.</w:t>
      </w:r>
    </w:p>
    <w:p w:rsidR="00000000" w:rsidRDefault="005A2CA1">
      <w:r>
        <w:t>При предоставлении заявлен</w:t>
      </w:r>
      <w:r>
        <w:t>ия и документов, необходимых для получения ежемесячной денежной выплаты за проезд, в форме электронных документов необходимо предоставление согласия гражданина на обработку его персональных данных в форме электронного документа, подписанного в соответствии</w:t>
      </w:r>
      <w:r>
        <w:t xml:space="preserve"> с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</w:t>
      </w:r>
      <w:hyperlink r:id="rId24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5A2CA1">
      <w:bookmarkStart w:id="23" w:name="sub_18"/>
      <w:r>
        <w:t>2.4. Заявление и документы, необходимые для назначения ежемесячной денежной выплаты за проезд, могут быть направлены через организацию почтовой связи. Днем обращения за ежемесячной денежной выплатой за проезд через организацию почтовой связи считается дата</w:t>
      </w:r>
      <w:r>
        <w:t>, получения заявления и документов КУВО "УСЗН" района. Обязанность подтверждения факта отправки документов лежит на отправителе.</w:t>
      </w:r>
    </w:p>
    <w:p w:rsidR="00000000" w:rsidRDefault="005A2CA1">
      <w:bookmarkStart w:id="24" w:name="sub_19"/>
      <w:bookmarkEnd w:id="23"/>
      <w:r>
        <w:t>2.5. Заявление о назначении ежемесячной денежной выплаты за проезд регистрируется в день его приема в журнале регис</w:t>
      </w:r>
      <w:r>
        <w:t xml:space="preserve">трации заявлений и решений КУВО "УСЗН" района по форме согласно </w:t>
      </w:r>
      <w:hyperlink w:anchor="sub_1002" w:history="1">
        <w:r>
          <w:rPr>
            <w:rStyle w:val="a4"/>
          </w:rPr>
          <w:t>приложению N 2</w:t>
        </w:r>
      </w:hyperlink>
      <w:r>
        <w:t xml:space="preserve"> к настоящему Порядку.</w:t>
      </w:r>
    </w:p>
    <w:bookmarkEnd w:id="24"/>
    <w:p w:rsidR="00000000" w:rsidRDefault="005A2CA1">
      <w:r>
        <w:t>Журнал должен быть пронумерован, прошнурован, скреплен печатью и подписью директора КУВО "УСЗН" района.</w:t>
      </w:r>
    </w:p>
    <w:p w:rsidR="00000000" w:rsidRDefault="005A2CA1"/>
    <w:p w:rsidR="00000000" w:rsidRDefault="005A2CA1">
      <w:pPr>
        <w:pStyle w:val="1"/>
      </w:pPr>
      <w:bookmarkStart w:id="25" w:name="sub_31"/>
      <w:r>
        <w:t>3. Порядок н</w:t>
      </w:r>
      <w:r>
        <w:t>азначения (отказа в назначении), приостановления и прекращения ежемесячной денежной выплаты за проезд</w:t>
      </w:r>
    </w:p>
    <w:bookmarkEnd w:id="25"/>
    <w:p w:rsidR="00000000" w:rsidRDefault="005A2CA1"/>
    <w:p w:rsidR="00000000" w:rsidRDefault="005A2CA1">
      <w:bookmarkStart w:id="26" w:name="sub_21"/>
      <w:r>
        <w:t>3.1. Ежемесячная денежная выплата за проезд назначается со дня обращения за ней, но не ранее возникновения права на ее выплату.</w:t>
      </w:r>
    </w:p>
    <w:bookmarkEnd w:id="26"/>
    <w:p w:rsidR="00000000" w:rsidRDefault="005A2CA1">
      <w:r>
        <w:t>Днем об</w:t>
      </w:r>
      <w:r>
        <w:t>ращения за назначением ежемесячной денежной выплаты за проезд считается день приема КУВО "УСЗН" района заявления со всеми необходимыми документами.</w:t>
      </w:r>
    </w:p>
    <w:p w:rsidR="00000000" w:rsidRDefault="005A2CA1">
      <w:bookmarkStart w:id="27" w:name="sub_22"/>
      <w:r>
        <w:t>3.2. Решение о назначении ежемесячной денежной выплаты за проезд либо об отказе в назначении принимает</w:t>
      </w:r>
      <w:r>
        <w:t>ся КУВО "УСЗН" района на основе всестороннего, полного и объективного рассмотрения всех представленных документов в течение 10 рабочих дней со дня обращения.</w:t>
      </w:r>
    </w:p>
    <w:p w:rsidR="00000000" w:rsidRDefault="005A2CA1">
      <w:bookmarkStart w:id="28" w:name="sub_23"/>
      <w:bookmarkEnd w:id="27"/>
      <w:r>
        <w:t xml:space="preserve">3.3. В случае отсутствия правовых оснований, установленных </w:t>
      </w:r>
      <w:hyperlink r:id="rId25" w:history="1">
        <w:r>
          <w:rPr>
            <w:rStyle w:val="a4"/>
          </w:rPr>
          <w:t>Законом</w:t>
        </w:r>
      </w:hyperlink>
      <w:r>
        <w:t xml:space="preserve"> Воронежской области от 14.11.2008 N 103-ОЗ "О социальной поддержке отдельных категорий граждан в Воронежской области", КУВО "УСЗН" района принимает решение об отказе в назначении ежемесячной денежной выплаты за</w:t>
      </w:r>
      <w:r>
        <w:t xml:space="preserve"> проезд.</w:t>
      </w:r>
    </w:p>
    <w:p w:rsidR="00000000" w:rsidRDefault="005A2CA1">
      <w:bookmarkStart w:id="29" w:name="sub_24"/>
      <w:bookmarkEnd w:id="28"/>
      <w:r>
        <w:t>3.4. Уведомление о принятом решении (о назначении, отказе в назначении) направляется КУВО "УСЗН" района члену семьи погибшего военнослужащего, члену семьи погибшего сотрудника в течение 3 рабочих дней со дня принятия соответствующего р</w:t>
      </w:r>
      <w:r>
        <w:t>ешения способом, указанным в заявлении.</w:t>
      </w:r>
    </w:p>
    <w:bookmarkEnd w:id="29"/>
    <w:p w:rsidR="00000000" w:rsidRDefault="005A2CA1">
      <w:r>
        <w:t>Уведомление об отказе в назначении ежемесячной денежной выплаты за проезд должно содержать причины отказа, а также порядок обжалования принятого решения.</w:t>
      </w:r>
    </w:p>
    <w:p w:rsidR="00000000" w:rsidRDefault="005A2CA1">
      <w:bookmarkStart w:id="30" w:name="sub_25"/>
      <w:r>
        <w:t>3.5. Ежемесячная денежная выплата за проезд приост</w:t>
      </w:r>
      <w:r>
        <w:t>анавливается в случаях:</w:t>
      </w:r>
    </w:p>
    <w:p w:rsidR="00000000" w:rsidRDefault="005A2CA1">
      <w:bookmarkStart w:id="31" w:name="sub_252"/>
      <w:bookmarkEnd w:id="30"/>
      <w:r>
        <w:t>- неполучения членом семьи погибшего военнослужащего, членом семьи погибшего сотрудника назначенной ежемесячной денежной выплаты за проезд в течение шести месяцев подряд через организацию почтовой связи - на весь период</w:t>
      </w:r>
      <w:r>
        <w:t xml:space="preserve"> неполучения указанной выплаты, начиная с </w:t>
      </w:r>
      <w:proofErr w:type="spellStart"/>
      <w:r>
        <w:t>l-гo</w:t>
      </w:r>
      <w:proofErr w:type="spellEnd"/>
      <w:r>
        <w:t xml:space="preserve"> числа месяца, следующего за месяцем, в котором истек указанный срок;</w:t>
      </w:r>
    </w:p>
    <w:bookmarkEnd w:id="31"/>
    <w:p w:rsidR="00000000" w:rsidRDefault="005A2CA1">
      <w:r>
        <w:t>- перемены постоянного места жительства в пределах территории Воронежской области.</w:t>
      </w:r>
    </w:p>
    <w:p w:rsidR="00000000" w:rsidRDefault="005A2CA1">
      <w:bookmarkStart w:id="32" w:name="sub_254"/>
      <w:proofErr w:type="gramStart"/>
      <w:r>
        <w:t>В случае перемены членом семьи погибшего во</w:t>
      </w:r>
      <w:r>
        <w:t>еннослужащего, членом семьи погибшего сотрудника места жительства в пределах Воронежской области КУВО "УСЗН" района по прежнему месту жительства по запросу КУВО "УСЗН" района по новому месту жительства пересылает личное дело члена семьи погибшего военнослу</w:t>
      </w:r>
      <w:r>
        <w:t>жащего, члена семьи погибшего сотрудника и документы, содержащие сведения о последнем периоде выплаты члену семьи погибшего военнослужащего, члену семьи погибшего сотрудника</w:t>
      </w:r>
      <w:proofErr w:type="gramEnd"/>
      <w:r>
        <w:t xml:space="preserve"> ежемесячной денежной выплаты за проезд, подписанные директором (либо лицом, его за</w:t>
      </w:r>
      <w:r>
        <w:t>мещающим) КУВО "УСЗН" района и заверенные печатью.</w:t>
      </w:r>
    </w:p>
    <w:bookmarkEnd w:id="32"/>
    <w:p w:rsidR="00000000" w:rsidRDefault="005A2CA1">
      <w:r>
        <w:lastRenderedPageBreak/>
        <w:t xml:space="preserve">Ежемесячная денежная выплата за проезд возобновляется с </w:t>
      </w:r>
      <w:proofErr w:type="spellStart"/>
      <w:r>
        <w:t>l-гo</w:t>
      </w:r>
      <w:proofErr w:type="spellEnd"/>
      <w:r>
        <w:t xml:space="preserve"> числа месяца, следующего за месяцем приостановления выплаты, но не более чем за 3 года, </w:t>
      </w:r>
      <w:proofErr w:type="gramStart"/>
      <w:r>
        <w:t>предшествующих</w:t>
      </w:r>
      <w:proofErr w:type="gramEnd"/>
      <w:r>
        <w:t xml:space="preserve"> обращению за получением ежемесячно</w:t>
      </w:r>
      <w:r>
        <w:t>й денежной выплаты за проезд.</w:t>
      </w:r>
    </w:p>
    <w:p w:rsidR="00000000" w:rsidRDefault="005A2CA1">
      <w:bookmarkStart w:id="33" w:name="sub_26"/>
      <w:r>
        <w:t>3.6. Ежемесячная денежная выплата за проезд прекращается с 1-го числа месяца, следующего за месяцем, в котором наступили следующие обстоятельства:</w:t>
      </w:r>
    </w:p>
    <w:bookmarkEnd w:id="33"/>
    <w:p w:rsidR="00000000" w:rsidRDefault="005A2CA1">
      <w:r>
        <w:t>- выезд члена семьи погибшего военнослужащего, члена семьи погибшег</w:t>
      </w:r>
      <w:r>
        <w:t>о сотрудника на постоянное место жительство за пределы Воронежской области;</w:t>
      </w:r>
    </w:p>
    <w:p w:rsidR="00000000" w:rsidRDefault="005A2CA1">
      <w:r>
        <w:t>- утрата членом семьи погибшего военнослужащего, членом семьи погибшего сотрудника права на ежемесячную денежную выплату за проезд;</w:t>
      </w:r>
    </w:p>
    <w:p w:rsidR="00000000" w:rsidRDefault="005A2CA1">
      <w:bookmarkStart w:id="34" w:name="sub_264"/>
      <w:r>
        <w:t>- установление факта представления членом</w:t>
      </w:r>
      <w:r>
        <w:t xml:space="preserve"> семьи погибшего военнослужащего, членом семьи погибшего сотрудника недостоверных и (или) неполных сведений, на основании которых была назначена ежемесячная денежная выплата за проезд;</w:t>
      </w:r>
    </w:p>
    <w:p w:rsidR="00000000" w:rsidRDefault="005A2CA1">
      <w:bookmarkStart w:id="35" w:name="sub_265"/>
      <w:bookmarkEnd w:id="34"/>
      <w:r>
        <w:t>- смерть члена семьи погибшего военнослужащего, члена сем</w:t>
      </w:r>
      <w:r>
        <w:t>ьи погибшего сотрудника (либо вступление в законную силу решения суда об объявлении его умершим или признании безвестно отсутствующим).</w:t>
      </w:r>
    </w:p>
    <w:bookmarkEnd w:id="35"/>
    <w:p w:rsidR="00000000" w:rsidRDefault="005A2CA1">
      <w:r>
        <w:t xml:space="preserve">Решение о прекращении ежемесячной денежной выплаты за проезд принимается КУВО "УСЗН" района в течение 10 рабочих </w:t>
      </w:r>
      <w:r>
        <w:t>дней со дня установления указанных обстоятельств.</w:t>
      </w:r>
    </w:p>
    <w:p w:rsidR="00000000" w:rsidRDefault="005A2CA1">
      <w:bookmarkStart w:id="36" w:name="sub_27"/>
      <w:r>
        <w:t xml:space="preserve">3.7. Получатели ежемесячной денежной выплаты за проезд обязаны извещать КУВО "УСЗН" района о наступлении обстоятельств, влекущих прекращение ее выплаты, за исключением обстоятельств, предусмотренных </w:t>
      </w:r>
      <w:hyperlink w:anchor="sub_264" w:history="1">
        <w:r>
          <w:rPr>
            <w:rStyle w:val="a4"/>
          </w:rPr>
          <w:t>абзацами четвертым</w:t>
        </w:r>
      </w:hyperlink>
      <w:r>
        <w:t xml:space="preserve"> и </w:t>
      </w:r>
      <w:hyperlink w:anchor="sub_265" w:history="1">
        <w:r>
          <w:rPr>
            <w:rStyle w:val="a4"/>
          </w:rPr>
          <w:t>пятым пункта 3.6</w:t>
        </w:r>
      </w:hyperlink>
      <w:r>
        <w:t xml:space="preserve"> настоящего Порядка, не позднее чем в течение 14 рабочих дней с момента наступления указанных обстоятельств.</w:t>
      </w:r>
    </w:p>
    <w:p w:rsidR="00000000" w:rsidRDefault="005A2CA1">
      <w:bookmarkStart w:id="37" w:name="sub_28"/>
      <w:bookmarkEnd w:id="36"/>
      <w:r>
        <w:t xml:space="preserve">3.8. </w:t>
      </w:r>
      <w:proofErr w:type="gramStart"/>
      <w:r>
        <w:t>Суммы ежемесячной денежной выплаты за проезд</w:t>
      </w:r>
      <w:r>
        <w:t xml:space="preserve">, излишне выплаченные члену семьи погибшего военнослужащего, члену семьи погибшего сотрудника по его вине (в случае утраты права на получение ежемесячной денежной выплаты за проезд, в связи с невыполнением требований, предусмотренных </w:t>
      </w:r>
      <w:hyperlink w:anchor="sub_27" w:history="1">
        <w:r>
          <w:rPr>
            <w:rStyle w:val="a4"/>
          </w:rPr>
          <w:t>п</w:t>
        </w:r>
        <w:r>
          <w:rPr>
            <w:rStyle w:val="a4"/>
          </w:rPr>
          <w:t>унктом 3.7</w:t>
        </w:r>
      </w:hyperlink>
      <w:r>
        <w:t xml:space="preserve"> настоящего Порядка), возмещаются членом семьи погибшего военнослужащего, членом семьи погибшего сотрудника добровольно, либо подлежат удержанию из сумм последующих выплат на основании добровольного</w:t>
      </w:r>
      <w:proofErr w:type="gramEnd"/>
      <w:r>
        <w:t xml:space="preserve"> согласия члена семьи погибшего военнослужаще</w:t>
      </w:r>
      <w:r>
        <w:t>го, члена семьи погибшего сотрудника, в размере не свыше 20% от начисленной суммы, либо в судебном порядке в соответствии с законодательством Российской Федерации.</w:t>
      </w:r>
    </w:p>
    <w:p w:rsidR="00000000" w:rsidRDefault="005A2CA1">
      <w:bookmarkStart w:id="38" w:name="sub_29"/>
      <w:bookmarkEnd w:id="37"/>
      <w:r>
        <w:t>3.9. Суммы ежемесячной денежной выплаты за проезд, начисленные члену семьи погиб</w:t>
      </w:r>
      <w:r>
        <w:t>шего военнослужащего, члену семьи погибшего сотрудника и не полученные им при жизни по какой-либо причине, включаются в состав наследства и наследуются на общих основаниях, установленных законодательством Российской Федерации.</w:t>
      </w:r>
    </w:p>
    <w:p w:rsidR="00000000" w:rsidRDefault="005A2CA1">
      <w:bookmarkStart w:id="39" w:name="sub_30"/>
      <w:bookmarkEnd w:id="38"/>
      <w:r>
        <w:t>3.10. Ежемесячная</w:t>
      </w:r>
      <w:r>
        <w:t xml:space="preserve"> денежная выплата за проезд, не полученная членом семьи погибшего военнослужащего, членом семьи погибшего сотрудника своевременно по вине органов, осуществляющих указанную выплату, выплачивается за прошедшее время без ограничения каким-либо сроком.</w:t>
      </w:r>
    </w:p>
    <w:bookmarkEnd w:id="39"/>
    <w:p w:rsidR="00000000" w:rsidRDefault="005A2CA1"/>
    <w:p w:rsidR="00000000" w:rsidRDefault="005A2CA1">
      <w:pPr>
        <w:pStyle w:val="1"/>
      </w:pPr>
      <w:bookmarkStart w:id="40" w:name="sub_35"/>
      <w:r>
        <w:t>4. Правила учета личных дел</w:t>
      </w:r>
    </w:p>
    <w:bookmarkEnd w:id="40"/>
    <w:p w:rsidR="00000000" w:rsidRDefault="005A2CA1"/>
    <w:p w:rsidR="00000000" w:rsidRDefault="005A2CA1">
      <w:bookmarkStart w:id="41" w:name="sub_32"/>
      <w:r>
        <w:t>4.1. Заявление о назначении ежемесячной денежной выплаты за проезд, документы, представленные членом семьи погибшего воен</w:t>
      </w:r>
      <w:r>
        <w:t>нослужащего, членом семьи погибшего сотрудника, а также решения КУВО "УСЗН" района и уведомления о принятых решениях приобщаются к личному делу члена семьи погибшего военнослужащего, члена семьи погибшего сотрудника.</w:t>
      </w:r>
    </w:p>
    <w:p w:rsidR="00000000" w:rsidRDefault="005A2CA1">
      <w:bookmarkStart w:id="42" w:name="sub_33"/>
      <w:bookmarkEnd w:id="41"/>
      <w:r>
        <w:t>4.2. Личное дело члена семь</w:t>
      </w:r>
      <w:r>
        <w:t>и погибшего военнослужащего, члена семьи погибшего сотрудника хранится в КУВО "УСЗН" района по месту получения ежемесячной денежной выплаты за проезд.</w:t>
      </w:r>
    </w:p>
    <w:p w:rsidR="00000000" w:rsidRDefault="005A2CA1">
      <w:bookmarkStart w:id="43" w:name="sub_34"/>
      <w:bookmarkEnd w:id="42"/>
      <w:r>
        <w:t>4.3. Срок хранения личного дела на период ежемесячной денежной выплаты за проезд - постоянный</w:t>
      </w:r>
      <w:r>
        <w:t>, после окончания срока выплаты - в течение 5 лет.</w:t>
      </w:r>
    </w:p>
    <w:bookmarkEnd w:id="43"/>
    <w:p w:rsidR="00000000" w:rsidRDefault="005A2CA1">
      <w:r>
        <w:t>Отказное личное дело хранится в течение 5 лет.</w:t>
      </w:r>
    </w:p>
    <w:p w:rsidR="00000000" w:rsidRDefault="005A2CA1"/>
    <w:p w:rsidR="00000000" w:rsidRDefault="005A2CA1">
      <w:pPr>
        <w:pStyle w:val="1"/>
      </w:pPr>
      <w:bookmarkStart w:id="44" w:name="sub_37"/>
      <w:r>
        <w:lastRenderedPageBreak/>
        <w:t>5. Порядок обжалования действий (бездействия) должностных лиц, а также принимаемых ими решений</w:t>
      </w:r>
    </w:p>
    <w:bookmarkEnd w:id="44"/>
    <w:p w:rsidR="00000000" w:rsidRDefault="005A2CA1"/>
    <w:p w:rsidR="00000000" w:rsidRDefault="005A2CA1">
      <w:bookmarkStart w:id="45" w:name="sub_36"/>
      <w:r>
        <w:t>5.1. Все решения, действия (бездейств</w:t>
      </w:r>
      <w:r>
        <w:t>ие) должностных лиц КУВО "УСЗН" района могут быть обжалованы в соответствии с действующим законодательством Российской Федерации.</w:t>
      </w:r>
    </w:p>
    <w:bookmarkEnd w:id="45"/>
    <w:p w:rsidR="00000000" w:rsidRDefault="005A2CA1"/>
    <w:p w:rsidR="00000000" w:rsidRDefault="005A2CA1">
      <w:pPr>
        <w:jc w:val="right"/>
        <w:rPr>
          <w:rStyle w:val="a3"/>
          <w:rFonts w:ascii="Arial" w:hAnsi="Arial" w:cs="Arial"/>
        </w:rPr>
      </w:pPr>
      <w:bookmarkStart w:id="46" w:name="sub_1001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предоставления меры социальной поддержки</w:t>
      </w:r>
      <w:r>
        <w:rPr>
          <w:rStyle w:val="a3"/>
          <w:rFonts w:ascii="Arial" w:hAnsi="Arial" w:cs="Arial"/>
        </w:rPr>
        <w:br/>
        <w:t>членам семьи военно</w:t>
      </w:r>
      <w:r>
        <w:rPr>
          <w:rStyle w:val="a3"/>
          <w:rFonts w:ascii="Arial" w:hAnsi="Arial" w:cs="Arial"/>
        </w:rPr>
        <w:t>служащего, погибшего</w:t>
      </w:r>
      <w:r>
        <w:rPr>
          <w:rStyle w:val="a3"/>
          <w:rFonts w:ascii="Arial" w:hAnsi="Arial" w:cs="Arial"/>
        </w:rPr>
        <w:br/>
        <w:t>в период прохождения военной службы</w:t>
      </w:r>
      <w:r>
        <w:rPr>
          <w:rStyle w:val="a3"/>
          <w:rFonts w:ascii="Arial" w:hAnsi="Arial" w:cs="Arial"/>
        </w:rPr>
        <w:br/>
        <w:t>в мирное время, в виде ежемесячной денежной</w:t>
      </w:r>
      <w:r>
        <w:rPr>
          <w:rStyle w:val="a3"/>
          <w:rFonts w:ascii="Arial" w:hAnsi="Arial" w:cs="Arial"/>
        </w:rPr>
        <w:br/>
        <w:t>выплаты за проезд в пассажирском</w:t>
      </w:r>
      <w:r>
        <w:rPr>
          <w:rStyle w:val="a3"/>
          <w:rFonts w:ascii="Arial" w:hAnsi="Arial" w:cs="Arial"/>
        </w:rPr>
        <w:br/>
        <w:t>транспорте городского сообщения</w:t>
      </w:r>
    </w:p>
    <w:bookmarkEnd w:id="46"/>
    <w:p w:rsidR="00000000" w:rsidRDefault="005A2CA1"/>
    <w:p w:rsidR="00000000" w:rsidRDefault="005A2CA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5A2CA1"/>
    <w:p w:rsidR="00000000" w:rsidRDefault="005A2CA1">
      <w:r>
        <w:t xml:space="preserve">Утратило силу с 12 июля 2019 г. - </w:t>
      </w:r>
      <w:hyperlink r:id="rId26" w:history="1">
        <w:r>
          <w:rPr>
            <w:rStyle w:val="a4"/>
          </w:rPr>
          <w:t>Приказ</w:t>
        </w:r>
      </w:hyperlink>
      <w:r>
        <w:t xml:space="preserve"> Департамента социальной защиты Воронежской области от 5 июля 2019 г. N 36/</w:t>
      </w:r>
      <w:proofErr w:type="spellStart"/>
      <w:proofErr w:type="gramStart"/>
      <w:r>
        <w:t>н</w:t>
      </w:r>
      <w:proofErr w:type="spellEnd"/>
      <w:proofErr w:type="gramEnd"/>
    </w:p>
    <w:p w:rsidR="00000000" w:rsidRDefault="005A2CA1">
      <w:pPr>
        <w:jc w:val="right"/>
        <w:rPr>
          <w:rStyle w:val="a3"/>
          <w:rFonts w:ascii="Arial" w:hAnsi="Arial" w:cs="Arial"/>
        </w:rPr>
      </w:pPr>
      <w:bookmarkStart w:id="47" w:name="sub_1002"/>
      <w:proofErr w:type="gramStart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br/>
        <w:t>предоставления меры социальной поддержки</w:t>
      </w:r>
      <w:r>
        <w:rPr>
          <w:rStyle w:val="a3"/>
          <w:rFonts w:ascii="Arial" w:hAnsi="Arial" w:cs="Arial"/>
        </w:rPr>
        <w:br/>
        <w:t xml:space="preserve">членам семьи </w:t>
      </w:r>
      <w:r>
        <w:rPr>
          <w:rStyle w:val="a3"/>
          <w:rFonts w:ascii="Arial" w:hAnsi="Arial" w:cs="Arial"/>
        </w:rPr>
        <w:t>военнослужащего, погибшего</w:t>
      </w:r>
      <w:r>
        <w:rPr>
          <w:rStyle w:val="a3"/>
          <w:rFonts w:ascii="Arial" w:hAnsi="Arial" w:cs="Arial"/>
        </w:rPr>
        <w:br/>
        <w:t>в период прохождения военной службы</w:t>
      </w:r>
      <w:r>
        <w:rPr>
          <w:rStyle w:val="a3"/>
          <w:rFonts w:ascii="Arial" w:hAnsi="Arial" w:cs="Arial"/>
        </w:rPr>
        <w:br/>
        <w:t>в мирное время, а также членам семьи</w:t>
      </w:r>
      <w:r>
        <w:rPr>
          <w:rStyle w:val="a3"/>
          <w:rFonts w:ascii="Arial" w:hAnsi="Arial" w:cs="Arial"/>
        </w:rPr>
        <w:br/>
        <w:t>отдельных категорий граждан, погибших (умерших)</w:t>
      </w:r>
      <w:r>
        <w:rPr>
          <w:rStyle w:val="a3"/>
          <w:rFonts w:ascii="Arial" w:hAnsi="Arial" w:cs="Arial"/>
        </w:rPr>
        <w:br/>
        <w:t>при исполнении служебных обязанностей</w:t>
      </w:r>
      <w:r>
        <w:rPr>
          <w:rStyle w:val="a3"/>
          <w:rFonts w:ascii="Arial" w:hAnsi="Arial" w:cs="Arial"/>
        </w:rPr>
        <w:br/>
        <w:t>в ходе специальной военной операции</w:t>
      </w:r>
      <w:r>
        <w:rPr>
          <w:rStyle w:val="a3"/>
          <w:rFonts w:ascii="Arial" w:hAnsi="Arial" w:cs="Arial"/>
        </w:rPr>
        <w:br/>
        <w:t>на территориях Украины, Донецкой Н</w:t>
      </w:r>
      <w:r>
        <w:rPr>
          <w:rStyle w:val="a3"/>
          <w:rFonts w:ascii="Arial" w:hAnsi="Arial" w:cs="Arial"/>
        </w:rPr>
        <w:t>ародной Республики,</w:t>
      </w:r>
      <w:r>
        <w:rPr>
          <w:rStyle w:val="a3"/>
          <w:rFonts w:ascii="Arial" w:hAnsi="Arial" w:cs="Arial"/>
        </w:rPr>
        <w:br/>
        <w:t>Луганской Народной Республики, Запорожской области,</w:t>
      </w:r>
      <w:r>
        <w:rPr>
          <w:rStyle w:val="a3"/>
          <w:rFonts w:ascii="Arial" w:hAnsi="Arial" w:cs="Arial"/>
        </w:rPr>
        <w:br/>
        <w:t>Херсонской области, в виде ежемесячной денежной</w:t>
      </w:r>
      <w:r>
        <w:rPr>
          <w:rStyle w:val="a3"/>
          <w:rFonts w:ascii="Arial" w:hAnsi="Arial" w:cs="Arial"/>
        </w:rPr>
        <w:br/>
        <w:t>выплаты за проезд в</w:t>
      </w:r>
      <w:proofErr w:type="gramEnd"/>
      <w:r>
        <w:rPr>
          <w:rStyle w:val="a3"/>
          <w:rFonts w:ascii="Arial" w:hAnsi="Arial" w:cs="Arial"/>
        </w:rPr>
        <w:t xml:space="preserve"> пассажирском</w:t>
      </w:r>
      <w:r>
        <w:rPr>
          <w:rStyle w:val="a3"/>
          <w:rFonts w:ascii="Arial" w:hAnsi="Arial" w:cs="Arial"/>
        </w:rPr>
        <w:br/>
      </w:r>
      <w:proofErr w:type="gramStart"/>
      <w:r>
        <w:rPr>
          <w:rStyle w:val="a3"/>
          <w:rFonts w:ascii="Arial" w:hAnsi="Arial" w:cs="Arial"/>
        </w:rPr>
        <w:t>транспорте</w:t>
      </w:r>
      <w:proofErr w:type="gramEnd"/>
      <w:r>
        <w:rPr>
          <w:rStyle w:val="a3"/>
          <w:rFonts w:ascii="Arial" w:hAnsi="Arial" w:cs="Arial"/>
        </w:rPr>
        <w:t xml:space="preserve"> городского сообщения</w:t>
      </w:r>
      <w:r>
        <w:rPr>
          <w:rStyle w:val="a3"/>
          <w:rFonts w:ascii="Arial" w:hAnsi="Arial" w:cs="Arial"/>
        </w:rPr>
        <w:br/>
        <w:t>(с изменениями от 4 апреля 2023 г.)</w:t>
      </w:r>
    </w:p>
    <w:bookmarkEnd w:id="47"/>
    <w:p w:rsidR="00000000" w:rsidRDefault="005A2CA1"/>
    <w:p w:rsidR="00000000" w:rsidRDefault="005A2CA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ЖУРНАЛ</w:t>
      </w:r>
    </w:p>
    <w:p w:rsidR="00000000" w:rsidRDefault="005A2CA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РЕГИСТРАЦИИ ЗАЯВЛЕНИЙ И РЕШЕНИЙ КАЗЕННОГО УЧРЕЖДЕНИЯ ВОРОНЕЖСКОЙ ОБЛАСТИ</w:t>
      </w:r>
    </w:p>
    <w:p w:rsidR="00000000" w:rsidRDefault="005A2CA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"УПРАВЛЕНИЕ СОЦИАЛЬНОЙ ЗАЩИТЫ НАСЕЛЕНИЯ"</w:t>
      </w:r>
    </w:p>
    <w:p w:rsidR="00000000" w:rsidRDefault="005A2CA1"/>
    <w:p w:rsidR="00000000" w:rsidRDefault="005A2CA1">
      <w:pPr>
        <w:ind w:firstLine="0"/>
        <w:jc w:val="left"/>
        <w:sectPr w:rsidR="00000000" w:rsidSect="008007E4">
          <w:footerReference w:type="default" r:id="rId27"/>
          <w:pgSz w:w="11900" w:h="16800"/>
          <w:pgMar w:top="924" w:right="800" w:bottom="709" w:left="800" w:header="426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2195"/>
        <w:gridCol w:w="1235"/>
        <w:gridCol w:w="1509"/>
        <w:gridCol w:w="3018"/>
        <w:gridCol w:w="1372"/>
        <w:gridCol w:w="1784"/>
        <w:gridCol w:w="1646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7"/>
            </w:pPr>
            <w:r>
              <w:lastRenderedPageBreak/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Дата приема заявления со всеми необходимыми документами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Данные о заявителе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Фамилия, имя, отчество специалиста КУВО "УСЗН", принявшего заявление и документы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Дата решения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Размер ежемесячной денежной выплаты на проезд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Срок назначения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A2CA1">
            <w:pPr>
              <w:pStyle w:val="a7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Фамилия, имя, отчество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Адрес места жительства</w:t>
            </w: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2C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7"/>
            </w:pPr>
            <w: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7"/>
            </w:pPr>
            <w: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A2CA1">
            <w:pPr>
              <w:pStyle w:val="a7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A2CA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A2CA1">
            <w:pPr>
              <w:pStyle w:val="a5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A2CA1">
            <w:pPr>
              <w:pStyle w:val="a5"/>
            </w:pPr>
          </w:p>
        </w:tc>
      </w:tr>
    </w:tbl>
    <w:p w:rsidR="005A2CA1" w:rsidRDefault="005A2CA1"/>
    <w:sectPr w:rsidR="005A2CA1">
      <w:headerReference w:type="default" r:id="rId28"/>
      <w:footerReference w:type="default" r:id="rId2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A1" w:rsidRDefault="005A2CA1">
      <w:r>
        <w:separator/>
      </w:r>
    </w:p>
  </w:endnote>
  <w:endnote w:type="continuationSeparator" w:id="0">
    <w:p w:rsidR="005A2CA1" w:rsidRDefault="005A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A2C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2C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2C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A2CA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13.06.202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2CA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A2CA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007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07E4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8007E4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A1" w:rsidRDefault="005A2CA1">
      <w:r>
        <w:separator/>
      </w:r>
    </w:p>
  </w:footnote>
  <w:footnote w:type="continuationSeparator" w:id="0">
    <w:p w:rsidR="005A2CA1" w:rsidRDefault="005A2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A2CA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Воронежской области от 16 февраля 2018 г. N 8/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н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 xml:space="preserve"> "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 xml:space="preserve"> ут</w:t>
    </w:r>
    <w:r>
      <w:rPr>
        <w:rFonts w:ascii="Times New Roman" w:hAnsi="Times New Roman" w:cs="Times New Roman"/>
        <w:sz w:val="20"/>
        <w:szCs w:val="20"/>
      </w:rPr>
      <w:t>верждении Порядка предоставления меры социальной поддержки членам…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7E4"/>
    <w:rsid w:val="005A2CA1"/>
    <w:rsid w:val="0080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52.17/document/redirect/406715985/160" TargetMode="External"/><Relationship Id="rId13" Type="http://schemas.openxmlformats.org/officeDocument/2006/relationships/hyperlink" Target="http://192.168.152.17/document/redirect/46438804/1000" TargetMode="External"/><Relationship Id="rId18" Type="http://schemas.openxmlformats.org/officeDocument/2006/relationships/hyperlink" Target="http://192.168.152.17/document/redirect/12177515/0" TargetMode="External"/><Relationship Id="rId26" Type="http://schemas.openxmlformats.org/officeDocument/2006/relationships/hyperlink" Target="http://192.168.152.17/document/redirect/46438804/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52.17/document/redirect/12184522/54" TargetMode="External"/><Relationship Id="rId7" Type="http://schemas.openxmlformats.org/officeDocument/2006/relationships/hyperlink" Target="http://192.168.152.17/document/redirect/18125215/0" TargetMode="External"/><Relationship Id="rId12" Type="http://schemas.openxmlformats.org/officeDocument/2006/relationships/hyperlink" Target="http://192.168.152.17/document/redirect/406312211/0" TargetMode="External"/><Relationship Id="rId17" Type="http://schemas.openxmlformats.org/officeDocument/2006/relationships/hyperlink" Target="http://192.168.152.17/document/redirect/12184522/0" TargetMode="External"/><Relationship Id="rId25" Type="http://schemas.openxmlformats.org/officeDocument/2006/relationships/hyperlink" Target="http://192.168.152.17/document/redirect/1812521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52.17/document/redirect/18100005/16" TargetMode="External"/><Relationship Id="rId20" Type="http://schemas.openxmlformats.org/officeDocument/2006/relationships/hyperlink" Target="http://192.168.152.17/document/redirect/12184522/52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52.17/document/redirect/18125215/370108" TargetMode="External"/><Relationship Id="rId24" Type="http://schemas.openxmlformats.org/officeDocument/2006/relationships/hyperlink" Target="http://192.168.152.17/document/redirect/12184522/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152.17/document/redirect/18100005/47" TargetMode="External"/><Relationship Id="rId23" Type="http://schemas.openxmlformats.org/officeDocument/2006/relationships/hyperlink" Target="http://192.168.152.17/document/redirect/12184522/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192.168.152.17/document/redirect/18171397/0" TargetMode="External"/><Relationship Id="rId19" Type="http://schemas.openxmlformats.org/officeDocument/2006/relationships/hyperlink" Target="http://192.168.152.17/document/redirect/12184522/5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92.168.152.17/document/redirect/18159631/0" TargetMode="External"/><Relationship Id="rId14" Type="http://schemas.openxmlformats.org/officeDocument/2006/relationships/hyperlink" Target="http://192.168.152.17/document/redirect/46438804/0" TargetMode="External"/><Relationship Id="rId22" Type="http://schemas.openxmlformats.org/officeDocument/2006/relationships/hyperlink" Target="http://192.168.152.17/document/redirect/12184522/54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3266</Words>
  <Characters>18619</Characters>
  <Application>Microsoft Office Word</Application>
  <DocSecurity>0</DocSecurity>
  <Lines>155</Lines>
  <Paragraphs>43</Paragraphs>
  <ScaleCrop>false</ScaleCrop>
  <Company>НПП "Гарант-Сервис"</Company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</cp:lastModifiedBy>
  <cp:revision>2</cp:revision>
  <dcterms:created xsi:type="dcterms:W3CDTF">2023-06-13T10:58:00Z</dcterms:created>
  <dcterms:modified xsi:type="dcterms:W3CDTF">2023-06-13T10:58:00Z</dcterms:modified>
</cp:coreProperties>
</file>